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大学生职业规划大赛就业赛道方案</w:t>
      </w:r>
    </w:p>
    <w:p>
      <w:pPr>
        <w:spacing w:line="472" w:lineRule="auto"/>
        <w:rPr>
          <w:rFonts w:ascii="Times New Roman" w:hAnsi="Times New Roman"/>
          <w:sz w:val="21"/>
          <w:highlight w:val="none"/>
        </w:rPr>
      </w:pPr>
    </w:p>
    <w:p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一、比赛内容</w:t>
      </w:r>
    </w:p>
    <w:p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考察学生求职实战能力，个人综合素质、专业能力与目标职业的契合度，个人发展路径与就业市场需求的适应度。</w:t>
      </w:r>
    </w:p>
    <w:p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二、参赛组别和对象</w:t>
      </w:r>
    </w:p>
    <w:p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就业赛道设高教本专科生组和高教研究生组，参赛对象为普通高等学校全日制本专科高年级在校学生，以及全体研究生。高教本专科生组面向专科二、三年级和普通本科三、四年级（部分专业五年级）学生（不含已通过推免等确定升学的毕业年级学生），全体第二学士学位学生；高教研究生组面向全体研究生。</w:t>
      </w:r>
    </w:p>
    <w:p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三、参赛材料要求</w:t>
      </w:r>
    </w:p>
    <w:p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选手在大赛平台（网址：zgs.chsi.com.cn）提交以下参赛材料：</w:t>
      </w:r>
    </w:p>
    <w:p>
      <w:pPr>
        <w:pStyle w:val="4"/>
        <w:jc w:val="both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（一）求职简历（PDF格式）。</w:t>
      </w:r>
    </w:p>
    <w:p>
      <w:pPr>
        <w:pStyle w:val="4"/>
        <w:jc w:val="both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（二）求职综合展示（PPT格式，不超过50MB；可加入视频）。</w:t>
      </w:r>
    </w:p>
    <w:p>
      <w:pPr>
        <w:pStyle w:val="2"/>
        <w:jc w:val="both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（三）辅助证明材料，包括实践、实习、获奖等证明材料（PDF格式，整合为单个文件，不超过10MB）。</w:t>
      </w:r>
    </w:p>
    <w:p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四、比赛环节</w:t>
      </w:r>
    </w:p>
    <w:p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就业赛道设主题陈述、综合面试环节。各环节根据实际情况可适当调整。</w:t>
      </w:r>
    </w:p>
    <w:p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Style w:val="10"/>
        </w:rPr>
        <w:t>（一）主题陈述（6分钟）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：选手结合求职综合展示PPT，陈述个人求职意向和职业准备情况。</w:t>
      </w:r>
    </w:p>
    <w:p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Style w:val="10"/>
        </w:rPr>
        <w:t>（二）综合面试（6分钟）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：评委提出真实工作场景中可能遇到的问题，选手提出解决方案；评委结合选手陈述自由提问。</w:t>
      </w:r>
    </w:p>
    <w:p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五、评审标准</w:t>
      </w:r>
    </w:p>
    <w:tbl>
      <w:tblPr>
        <w:tblStyle w:val="8"/>
        <w:tblW w:w="8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6348"/>
        <w:gridCol w:w="8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4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63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47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63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80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47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3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80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47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63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47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3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5" w:hRule="exact"/>
          <w:jc w:val="center"/>
        </w:trPr>
        <w:tc>
          <w:tcPr>
            <w:tcW w:w="14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63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14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宋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总分</w:t>
            </w:r>
          </w:p>
        </w:tc>
        <w:tc>
          <w:tcPr>
            <w:tcW w:w="63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05" w:leftChars="-50" w:right="-105" w:rightChars="-50"/>
              <w:jc w:val="center"/>
              <w:textAlignment w:val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100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/>
          <w:highlight w:val="none"/>
        </w:rPr>
      </w:pP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4" w:left="1587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right="403"/>
      <w:jc w:val="right"/>
      <w:rPr>
        <w:rFonts w:ascii="宋体" w:hAnsi="宋体" w:eastAsia="宋体" w:cs="宋体"/>
        <w:sz w:val="27"/>
        <w:szCs w:val="27"/>
      </w:rPr>
    </w:pPr>
    <w:r>
      <w:rPr>
        <w:sz w:val="27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eastAsia="宋体" w:cs="Times New Roman"/>
                        <w:sz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—</w:t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2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5F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10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Title"/>
    <w:qFormat/>
    <w:uiPriority w:val="1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8">
    <w:name w:val="Table Grid"/>
    <w:basedOn w:val="7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2 Char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2026-10-13T10:38:12Z</dcterms:created>
  <dc:creator>HUAWEI</dc:creator>
  <cp:lastModifiedBy>WPS_1641631111</cp:lastModifiedBy>
  <dcterms:modified xsi:type="dcterms:W3CDTF">2026-10-13T10:38:34Z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